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39" w:rsidRDefault="004D4939" w:rsidP="004D4939">
      <w:pPr>
        <w:shd w:val="clear" w:color="auto" w:fill="FFFFFF"/>
        <w:spacing w:after="0" w:line="234" w:lineRule="atLeast"/>
        <w:jc w:val="center"/>
        <w:rPr>
          <w:rFonts w:eastAsia="Times New Roman" w:cs="Times New Roman"/>
          <w:b/>
          <w:sz w:val="28"/>
          <w:szCs w:val="28"/>
        </w:rPr>
      </w:pPr>
      <w:bookmarkStart w:id="0" w:name="loai_1"/>
      <w:r w:rsidRPr="004D4939">
        <w:rPr>
          <w:rFonts w:eastAsia="Times New Roman" w:cs="Times New Roman"/>
          <w:b/>
          <w:bCs/>
          <w:sz w:val="28"/>
          <w:szCs w:val="28"/>
          <w:lang w:val="vi-VN"/>
        </w:rPr>
        <w:t>LUẬT</w:t>
      </w:r>
      <w:bookmarkStart w:id="1" w:name="loai_1_name"/>
      <w:bookmarkEnd w:id="0"/>
      <w:r w:rsidRPr="004D4939">
        <w:rPr>
          <w:rFonts w:eastAsia="Times New Roman" w:cs="Times New Roman"/>
          <w:b/>
          <w:bCs/>
          <w:sz w:val="28"/>
          <w:szCs w:val="28"/>
        </w:rPr>
        <w:t xml:space="preserve"> </w:t>
      </w:r>
      <w:r w:rsidRPr="004D4939">
        <w:rPr>
          <w:rFonts w:eastAsia="Times New Roman" w:cs="Times New Roman"/>
          <w:b/>
          <w:sz w:val="28"/>
          <w:szCs w:val="28"/>
          <w:lang w:val="vi-VN"/>
        </w:rPr>
        <w:t>NGHĨA VỤ QUÂN SỰ</w:t>
      </w:r>
      <w:bookmarkEnd w:id="1"/>
      <w:r w:rsidRPr="004D4939">
        <w:rPr>
          <w:rFonts w:eastAsia="Times New Roman" w:cs="Times New Roman"/>
          <w:b/>
          <w:sz w:val="28"/>
          <w:szCs w:val="28"/>
        </w:rPr>
        <w:t xml:space="preserve"> (</w:t>
      </w:r>
      <w:r w:rsidRPr="004D4939">
        <w:rPr>
          <w:rFonts w:eastAsia="Times New Roman" w:cs="Times New Roman"/>
          <w:b/>
          <w:sz w:val="28"/>
          <w:szCs w:val="28"/>
        </w:rPr>
        <w:t>Luật số: 78/2015/QH13</w:t>
      </w:r>
      <w:r w:rsidRPr="004D4939">
        <w:rPr>
          <w:rFonts w:eastAsia="Times New Roman" w:cs="Times New Roman"/>
          <w:b/>
          <w:sz w:val="28"/>
          <w:szCs w:val="28"/>
        </w:rPr>
        <w:t>)</w:t>
      </w:r>
    </w:p>
    <w:p w:rsidR="004D4939" w:rsidRPr="004D4939" w:rsidRDefault="004D4939" w:rsidP="004D4939">
      <w:pPr>
        <w:shd w:val="clear" w:color="auto" w:fill="FFFFFF"/>
        <w:spacing w:after="0" w:line="234" w:lineRule="atLeast"/>
        <w:jc w:val="center"/>
        <w:rPr>
          <w:rFonts w:eastAsia="Times New Roman" w:cs="Times New Roman"/>
          <w:b/>
          <w:sz w:val="28"/>
          <w:szCs w:val="28"/>
        </w:rPr>
      </w:pPr>
      <w:r>
        <w:rPr>
          <w:rFonts w:eastAsia="Times New Roman" w:cs="Times New Roman"/>
          <w:b/>
          <w:sz w:val="28"/>
          <w:szCs w:val="28"/>
        </w:rPr>
        <w:t>--------------------------</w:t>
      </w:r>
    </w:p>
    <w:p w:rsidR="004D4939" w:rsidRPr="004D4939" w:rsidRDefault="004D4939" w:rsidP="004D4939">
      <w:pPr>
        <w:shd w:val="clear" w:color="auto" w:fill="FFFFFF"/>
        <w:spacing w:after="0" w:line="234" w:lineRule="atLeast"/>
        <w:jc w:val="both"/>
        <w:rPr>
          <w:rFonts w:eastAsia="Times New Roman" w:cs="Times New Roman"/>
          <w:sz w:val="28"/>
          <w:szCs w:val="28"/>
        </w:rPr>
      </w:pPr>
    </w:p>
    <w:p w:rsidR="004D4939" w:rsidRPr="004D4939" w:rsidRDefault="004D4939" w:rsidP="004D4939">
      <w:pPr>
        <w:pStyle w:val="NormalWeb"/>
        <w:shd w:val="clear" w:color="auto" w:fill="FFFFFF"/>
        <w:spacing w:before="0" w:beforeAutospacing="0" w:after="0" w:afterAutospacing="0" w:line="234" w:lineRule="atLeast"/>
        <w:jc w:val="both"/>
        <w:rPr>
          <w:sz w:val="28"/>
          <w:szCs w:val="28"/>
        </w:rPr>
      </w:pPr>
      <w:bookmarkStart w:id="2" w:name="dieu_12"/>
      <w:r w:rsidRPr="004D4939">
        <w:rPr>
          <w:b/>
          <w:bCs/>
          <w:sz w:val="28"/>
          <w:szCs w:val="28"/>
        </w:rPr>
        <w:t>Điều 12. Đối tượng đăng ký nghĩa vụ quân sự</w:t>
      </w:r>
      <w:bookmarkEnd w:id="2"/>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1. Công dân nam đủ 17 tuổi trở lên.</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2. Công dân nữ quy định tại khoản 2 Điều 7 của Luật này đủ 18 tuổi trở lên.</w:t>
      </w:r>
    </w:p>
    <w:p w:rsidR="004D4939" w:rsidRPr="004D4939" w:rsidRDefault="004D4939" w:rsidP="004D4939">
      <w:pPr>
        <w:jc w:val="both"/>
        <w:rPr>
          <w:rFonts w:cs="Times New Roman"/>
          <w:sz w:val="28"/>
          <w:szCs w:val="28"/>
        </w:rPr>
      </w:pPr>
      <w:bookmarkStart w:id="3" w:name="dieu_16"/>
      <w:r w:rsidRPr="004D4939">
        <w:rPr>
          <w:rFonts w:cs="Times New Roman"/>
          <w:sz w:val="28"/>
          <w:szCs w:val="28"/>
        </w:rPr>
        <w:t>Điều 16. Đăng ký nghĩa vụ quân sự lần đầu</w:t>
      </w:r>
      <w:bookmarkEnd w:id="3"/>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1. Tháng một hằng năm, Chủ tịch </w:t>
      </w:r>
      <w:r w:rsidRPr="004D4939">
        <w:rPr>
          <w:sz w:val="28"/>
          <w:szCs w:val="28"/>
          <w:shd w:val="clear" w:color="auto" w:fill="FFFFFF"/>
        </w:rPr>
        <w:t>Ủy ban</w:t>
      </w:r>
      <w:r w:rsidRPr="004D4939">
        <w:rPr>
          <w:sz w:val="28"/>
          <w:szCs w:val="28"/>
        </w:rPr>
        <w:t> nhân dân cấp xã, người đứng đầu hoặc người đại diện </w:t>
      </w:r>
      <w:r w:rsidRPr="004D4939">
        <w:rPr>
          <w:sz w:val="28"/>
          <w:szCs w:val="28"/>
          <w:shd w:val="clear" w:color="auto" w:fill="FFFFFF"/>
        </w:rPr>
        <w:t>hợp pháp</w:t>
      </w:r>
      <w:r w:rsidRPr="004D4939">
        <w:rPr>
          <w:sz w:val="28"/>
          <w:szCs w:val="28"/>
        </w:rPr>
        <w:t> của cơ quan, tổ chức báo cáo Ban Chỉ huy quân sự cấp huyện danh sách công dân nam đủ 17 tuổi trong năm và công dân nam trong độ tuổi thực hiện nghĩa vụ quân sự chưa đăng ký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2. Tháng tư hằng năm, Chỉ</w:t>
      </w:r>
      <w:bookmarkStart w:id="4" w:name="_GoBack"/>
      <w:bookmarkEnd w:id="4"/>
      <w:r w:rsidRPr="004D4939">
        <w:rPr>
          <w:sz w:val="28"/>
          <w:szCs w:val="28"/>
        </w:rPr>
        <w:t xml:space="preserve"> huy trưởng Ban Chỉ huy quân sự cấp huyện ra lệnh gọi công dân quy định tại khoản 1 Điều này để đăng ký nghĩa vụ quân sự lần đầu.</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3. Công dân đăng ký nghĩa vụ quân sự lần đầu phải trực tiếp đăng ký tại cơ quan đăng ký nghĩa vụ quân sự quy định tại Điều 15 của Luật này.</w:t>
      </w:r>
    </w:p>
    <w:p w:rsidR="004D4939" w:rsidRPr="004D4939" w:rsidRDefault="004D4939" w:rsidP="004D4939">
      <w:pPr>
        <w:pStyle w:val="NormalWeb"/>
        <w:shd w:val="clear" w:color="auto" w:fill="FFFFFF"/>
        <w:spacing w:before="0" w:beforeAutospacing="0" w:after="0" w:afterAutospacing="0" w:line="234" w:lineRule="atLeast"/>
        <w:jc w:val="both"/>
        <w:rPr>
          <w:sz w:val="28"/>
          <w:szCs w:val="28"/>
        </w:rPr>
      </w:pPr>
      <w:bookmarkStart w:id="5" w:name="dieu_20"/>
      <w:r w:rsidRPr="004D4939">
        <w:rPr>
          <w:b/>
          <w:bCs/>
          <w:sz w:val="28"/>
          <w:szCs w:val="28"/>
        </w:rPr>
        <w:t>Điều 20. Trách nhiệm, quyền hạn của cơ quan, tổ chức, cá nhân trong đăng ký nghĩa vụ quân sự và quản lý công dân trong độ tuổi thực hiện nghĩa vụ quân sự</w:t>
      </w:r>
      <w:bookmarkEnd w:id="5"/>
    </w:p>
    <w:p w:rsidR="004D4939" w:rsidRPr="004D4939" w:rsidRDefault="004D4939" w:rsidP="004D4939">
      <w:pPr>
        <w:jc w:val="both"/>
        <w:rPr>
          <w:rFonts w:cs="Times New Roman"/>
          <w:sz w:val="28"/>
          <w:szCs w:val="28"/>
        </w:rPr>
      </w:pPr>
      <w:bookmarkStart w:id="6" w:name="khoan_1_20"/>
      <w:r w:rsidRPr="004D4939">
        <w:rPr>
          <w:rFonts w:cs="Times New Roman"/>
          <w:sz w:val="28"/>
          <w:szCs w:val="28"/>
        </w:rPr>
        <w:t>1. Chính phủ quy định chi tiết trình tự, thủ tục đăng ký nghĩa vụ quân sự.</w:t>
      </w:r>
      <w:bookmarkEnd w:id="6"/>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2. Bộ trưởng Bộ Quốc phòng có trách nhiệm tổ chức chỉ đạo, hướng dẫn việc đăng ký nghĩa vụ quân sự, quy định hệ thống mẫu biểu đăng ký nghĩa vụ quân sự, chế độ báo cáo, chế độ kiểm tra việc đăng ký nghĩa vụ quân sự; quản lý công dân trong độ tuổi thực hiện nghĩa vụ quân sự; xây dựng và quản lý thống nhất cơ sở dữ liệu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shd w:val="clear" w:color="auto" w:fill="FFFFFF"/>
        </w:rPr>
        <w:t>3. Ủy ban</w:t>
      </w:r>
      <w:r w:rsidRPr="004D4939">
        <w:rPr>
          <w:sz w:val="28"/>
          <w:szCs w:val="28"/>
        </w:rPr>
        <w:t> nhân dân các cấp có trách nhiệm chỉ đạo thực hiện việc đăng ký nghĩa vụ quân sự và quản lý công dân trong độ tuổi thực hiện nghĩa vụ quân sự ở địa phương theo quy định của pháp luật.</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4. Cơ quan quân sự cấp huyện, cấp xã trong phạm vi nhiệm vụ, quyền hạn có trách nhiệm:</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a) Tổ chức thực hiện đăng ký nghĩa vụ quân sự và cấp giấy chứng nhận đăng ký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b) Chủ trì, phối hợp với cơ quan liên quan quản lý công dân trong độ tuổi thực hiện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5. Cơ quan công an cấp huyện, cấp xã trong phạm vi nhiệm vụ, quyền hạn có trách nhiệm:</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a) Kịp thời thông báo cho Ban Chỉ huy quân sự cùng cấp nơi công dân trong độ tuổi thực hiện nghĩa vụ quân sự đang cư trú về việc họ bị truy cứu trách nhiệm hình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lastRenderedPageBreak/>
        <w:t>b) Thông báo cho Ban Chỉ huy quân sự cùng cấp thay đổi về nơi thường trú, tạm vắng, tạm trú, lưu trú của công dân trong độ tuổi thực hiện nghĩa vụ quân sự để quản lý việc đăng ký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c) Phối hợp với cơ quan quân sự địa phương và cơ quan liên quan khác kiểm tra, xử lý những người vi phạm quy định về đăng ký nghĩa vụ quân sự.</w:t>
      </w:r>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6. Cơ quan, tổ chức có trách nhiệm phối hợp với cơ quan quân sự cùng cấp thực hiện quy định về đăng ký nghĩa vụ quân sự và quản lý công dân trong độ tuổi thực hiện nghĩa vụ quân sự.</w:t>
      </w:r>
    </w:p>
    <w:p w:rsidR="004D4939" w:rsidRPr="004D4939" w:rsidRDefault="004D4939" w:rsidP="004D4939">
      <w:pPr>
        <w:pStyle w:val="NormalWeb"/>
        <w:shd w:val="clear" w:color="auto" w:fill="FFFFFF"/>
        <w:spacing w:before="0" w:beforeAutospacing="0" w:after="0" w:afterAutospacing="0" w:line="234" w:lineRule="atLeast"/>
        <w:jc w:val="both"/>
        <w:rPr>
          <w:sz w:val="28"/>
          <w:szCs w:val="28"/>
        </w:rPr>
      </w:pPr>
      <w:bookmarkStart w:id="7" w:name="dieu_30"/>
      <w:r w:rsidRPr="004D4939">
        <w:rPr>
          <w:b/>
          <w:bCs/>
          <w:sz w:val="28"/>
          <w:szCs w:val="28"/>
        </w:rPr>
        <w:t>Điều 30. Độ tuổi gọi nhập ngũ</w:t>
      </w:r>
      <w:bookmarkEnd w:id="7"/>
    </w:p>
    <w:p w:rsidR="004D4939" w:rsidRPr="004D4939" w:rsidRDefault="004D4939" w:rsidP="004D4939">
      <w:pPr>
        <w:pStyle w:val="NormalWeb"/>
        <w:shd w:val="clear" w:color="auto" w:fill="FFFFFF"/>
        <w:spacing w:before="120" w:beforeAutospacing="0" w:after="120" w:afterAutospacing="0" w:line="234" w:lineRule="atLeast"/>
        <w:jc w:val="both"/>
        <w:rPr>
          <w:sz w:val="28"/>
          <w:szCs w:val="28"/>
        </w:rPr>
      </w:pPr>
      <w:r w:rsidRPr="004D4939">
        <w:rPr>
          <w:sz w:val="28"/>
          <w:szCs w:val="28"/>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4D4939" w:rsidRPr="004D4939" w:rsidRDefault="004D4939" w:rsidP="004D4939">
      <w:pPr>
        <w:shd w:val="clear" w:color="auto" w:fill="FFFFFF"/>
        <w:spacing w:after="0" w:line="234" w:lineRule="atLeast"/>
        <w:jc w:val="both"/>
        <w:rPr>
          <w:rFonts w:eastAsia="Times New Roman" w:cs="Times New Roman"/>
          <w:sz w:val="28"/>
          <w:szCs w:val="28"/>
        </w:rPr>
      </w:pPr>
    </w:p>
    <w:p w:rsidR="00231F05" w:rsidRPr="004D4939" w:rsidRDefault="00231F05" w:rsidP="004D4939">
      <w:pPr>
        <w:jc w:val="both"/>
        <w:rPr>
          <w:rFonts w:cs="Times New Roman"/>
          <w:sz w:val="28"/>
          <w:szCs w:val="28"/>
        </w:rPr>
      </w:pPr>
    </w:p>
    <w:sectPr w:rsidR="00231F05" w:rsidRPr="004D4939" w:rsidSect="004D493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39"/>
    <w:rsid w:val="00231F05"/>
    <w:rsid w:val="004D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3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93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6530">
      <w:bodyDiv w:val="1"/>
      <w:marLeft w:val="0"/>
      <w:marRight w:val="0"/>
      <w:marTop w:val="0"/>
      <w:marBottom w:val="0"/>
      <w:divBdr>
        <w:top w:val="none" w:sz="0" w:space="0" w:color="auto"/>
        <w:left w:val="none" w:sz="0" w:space="0" w:color="auto"/>
        <w:bottom w:val="none" w:sz="0" w:space="0" w:color="auto"/>
        <w:right w:val="none" w:sz="0" w:space="0" w:color="auto"/>
      </w:divBdr>
    </w:div>
    <w:div w:id="246041715">
      <w:bodyDiv w:val="1"/>
      <w:marLeft w:val="0"/>
      <w:marRight w:val="0"/>
      <w:marTop w:val="0"/>
      <w:marBottom w:val="0"/>
      <w:divBdr>
        <w:top w:val="none" w:sz="0" w:space="0" w:color="auto"/>
        <w:left w:val="none" w:sz="0" w:space="0" w:color="auto"/>
        <w:bottom w:val="none" w:sz="0" w:space="0" w:color="auto"/>
        <w:right w:val="none" w:sz="0" w:space="0" w:color="auto"/>
      </w:divBdr>
    </w:div>
    <w:div w:id="285506198">
      <w:bodyDiv w:val="1"/>
      <w:marLeft w:val="0"/>
      <w:marRight w:val="0"/>
      <w:marTop w:val="0"/>
      <w:marBottom w:val="0"/>
      <w:divBdr>
        <w:top w:val="none" w:sz="0" w:space="0" w:color="auto"/>
        <w:left w:val="none" w:sz="0" w:space="0" w:color="auto"/>
        <w:bottom w:val="none" w:sz="0" w:space="0" w:color="auto"/>
        <w:right w:val="none" w:sz="0" w:space="0" w:color="auto"/>
      </w:divBdr>
    </w:div>
    <w:div w:id="1279608711">
      <w:bodyDiv w:val="1"/>
      <w:marLeft w:val="0"/>
      <w:marRight w:val="0"/>
      <w:marTop w:val="0"/>
      <w:marBottom w:val="0"/>
      <w:divBdr>
        <w:top w:val="none" w:sz="0" w:space="0" w:color="auto"/>
        <w:left w:val="none" w:sz="0" w:space="0" w:color="auto"/>
        <w:bottom w:val="none" w:sz="0" w:space="0" w:color="auto"/>
        <w:right w:val="none" w:sz="0" w:space="0" w:color="auto"/>
      </w:divBdr>
    </w:div>
    <w:div w:id="17147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2022-02-08T09:05:00Z</dcterms:created>
  <dcterms:modified xsi:type="dcterms:W3CDTF">2022-02-08T09:10:00Z</dcterms:modified>
</cp:coreProperties>
</file>